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6F" w:rsidRDefault="00CA4F6F" w:rsidP="00AD3E25">
      <w:pPr>
        <w:spacing w:after="0"/>
        <w:rPr>
          <w:rFonts w:ascii="Times New Roman" w:hAnsi="Times New Roman"/>
        </w:rPr>
      </w:pPr>
      <w:bookmarkStart w:id="0" w:name="_GoBack"/>
      <w:bookmarkEnd w:id="0"/>
      <w:r>
        <w:rPr>
          <w:rFonts w:ascii="Times New Roman" w:hAnsi="Times New Roman"/>
        </w:rPr>
        <w:t xml:space="preserve">Cognition and Emotion in Literature and Film, </w:t>
      </w:r>
      <w:r w:rsidRPr="00CA2B75">
        <w:rPr>
          <w:rFonts w:ascii="Times New Roman" w:hAnsi="Times New Roman"/>
          <w:i/>
        </w:rPr>
        <w:t>or</w:t>
      </w:r>
    </w:p>
    <w:p w:rsidR="00CA4F6F" w:rsidRDefault="00CA4F6F" w:rsidP="00AD3E25">
      <w:pPr>
        <w:spacing w:after="0"/>
        <w:rPr>
          <w:rFonts w:ascii="Times New Roman" w:hAnsi="Times New Roman"/>
        </w:rPr>
      </w:pPr>
      <w:r w:rsidRPr="00AD3E25">
        <w:rPr>
          <w:rFonts w:ascii="Times New Roman" w:hAnsi="Times New Roman"/>
        </w:rPr>
        <w:t>Is</w:t>
      </w:r>
      <w:r>
        <w:rPr>
          <w:rFonts w:ascii="Times New Roman" w:hAnsi="Times New Roman"/>
        </w:rPr>
        <w:t xml:space="preserve"> Cultural Study</w:t>
      </w:r>
      <w:r w:rsidRPr="00AD3E25">
        <w:rPr>
          <w:rFonts w:ascii="Times New Roman" w:hAnsi="Times New Roman"/>
        </w:rPr>
        <w:t xml:space="preserve"> Possible Without Cognitive Neuroscience?</w:t>
      </w:r>
    </w:p>
    <w:p w:rsidR="00CA4F6F" w:rsidRDefault="00CA4F6F" w:rsidP="00AD3E25">
      <w:pPr>
        <w:spacing w:after="0"/>
        <w:rPr>
          <w:rFonts w:ascii="Times New Roman" w:hAnsi="Times New Roman"/>
        </w:rPr>
      </w:pPr>
    </w:p>
    <w:p w:rsidR="00CA4F6F" w:rsidRDefault="00CA4F6F" w:rsidP="00AD3E25">
      <w:pPr>
        <w:spacing w:after="0"/>
        <w:rPr>
          <w:rFonts w:ascii="Times New Roman" w:hAnsi="Times New Roman"/>
        </w:rPr>
      </w:pPr>
      <w:r>
        <w:rPr>
          <w:rFonts w:ascii="Times New Roman" w:hAnsi="Times New Roman"/>
        </w:rPr>
        <w:t xml:space="preserve">Patrick </w:t>
      </w:r>
      <w:proofErr w:type="spellStart"/>
      <w:r>
        <w:rPr>
          <w:rFonts w:ascii="Times New Roman" w:hAnsi="Times New Roman"/>
        </w:rPr>
        <w:t>Colm</w:t>
      </w:r>
      <w:proofErr w:type="spellEnd"/>
      <w:r>
        <w:rPr>
          <w:rFonts w:ascii="Times New Roman" w:hAnsi="Times New Roman"/>
        </w:rPr>
        <w:t xml:space="preserve"> Hogan</w:t>
      </w:r>
    </w:p>
    <w:p w:rsidR="00CA4F6F" w:rsidRDefault="00CA4F6F" w:rsidP="00AD3E25">
      <w:pPr>
        <w:spacing w:after="0"/>
        <w:rPr>
          <w:rFonts w:ascii="Times New Roman" w:hAnsi="Times New Roman"/>
        </w:rPr>
      </w:pPr>
      <w:r>
        <w:rPr>
          <w:rFonts w:ascii="Times New Roman" w:hAnsi="Times New Roman"/>
        </w:rPr>
        <w:t>Department of English and Program in Cognitive Science</w:t>
      </w:r>
    </w:p>
    <w:p w:rsidR="00CA4F6F" w:rsidRPr="00AD3E25" w:rsidRDefault="00CA4F6F" w:rsidP="00AD3E25">
      <w:pPr>
        <w:spacing w:after="0"/>
        <w:rPr>
          <w:rFonts w:ascii="Times New Roman" w:hAnsi="Times New Roman"/>
        </w:rPr>
      </w:pPr>
      <w:r>
        <w:rPr>
          <w:rFonts w:ascii="Times New Roman" w:hAnsi="Times New Roman"/>
        </w:rPr>
        <w:t>University of Connecticut</w:t>
      </w:r>
    </w:p>
    <w:p w:rsidR="00CA4F6F" w:rsidRPr="00AD3E25" w:rsidRDefault="00CA4F6F" w:rsidP="00AD3E25">
      <w:pPr>
        <w:spacing w:after="0"/>
        <w:rPr>
          <w:rFonts w:ascii="Times New Roman" w:hAnsi="Times New Roman"/>
        </w:rPr>
      </w:pPr>
    </w:p>
    <w:p w:rsidR="00CA4F6F" w:rsidRPr="00AD3E25" w:rsidRDefault="00CA4F6F" w:rsidP="00AD3E25">
      <w:pPr>
        <w:spacing w:after="0"/>
        <w:rPr>
          <w:rFonts w:ascii="Times New Roman" w:hAnsi="Times New Roman"/>
        </w:rPr>
      </w:pPr>
      <w:r w:rsidRPr="00AD3E25">
        <w:rPr>
          <w:rFonts w:ascii="Times New Roman" w:hAnsi="Times New Roman"/>
        </w:rPr>
        <w:tab/>
        <w:t xml:space="preserve">Any of you who </w:t>
      </w:r>
      <w:proofErr w:type="gramStart"/>
      <w:r w:rsidRPr="00AD3E25">
        <w:rPr>
          <w:rFonts w:ascii="Times New Roman" w:hAnsi="Times New Roman"/>
        </w:rPr>
        <w:t>has</w:t>
      </w:r>
      <w:proofErr w:type="gramEnd"/>
      <w:r w:rsidRPr="00AD3E25">
        <w:rPr>
          <w:rFonts w:ascii="Times New Roman" w:hAnsi="Times New Roman"/>
        </w:rPr>
        <w:t xml:space="preserve"> attended a literary talk drawing on cognitive science has probably heard an exchange along the following lines. Audience member: “Professor Brainstem, thank you so much for your illuminating presentation, which gives us much to consider. Though I greatly enjoyed your talk, I am troubled by one thing. Cognitive science may have some valuable insights. But don’t you feel that it leaves out culture and history?” When asked questions of this sort, cognitivists—including myself—usually fumble about apologetically, saying that yes, some of us are guilty and we really need to do more to integrate culture into our cognitive analyses, etc. </w:t>
      </w:r>
    </w:p>
    <w:p w:rsidR="00CA4F6F" w:rsidRPr="00AD3E25" w:rsidRDefault="00CA4F6F" w:rsidP="00AD3E25">
      <w:pPr>
        <w:spacing w:after="0"/>
        <w:ind w:firstLine="720"/>
        <w:rPr>
          <w:rFonts w:ascii="Times New Roman" w:hAnsi="Times New Roman"/>
        </w:rPr>
      </w:pPr>
      <w:r w:rsidRPr="00AD3E25">
        <w:rPr>
          <w:rFonts w:ascii="Times New Roman" w:hAnsi="Times New Roman"/>
        </w:rPr>
        <w:t xml:space="preserve">But, on reflection, it seems that this gets things </w:t>
      </w:r>
      <w:r>
        <w:rPr>
          <w:rFonts w:ascii="Times New Roman" w:hAnsi="Times New Roman"/>
        </w:rPr>
        <w:t>rather badly wrong</w:t>
      </w:r>
      <w:r w:rsidRPr="00AD3E25">
        <w:rPr>
          <w:rFonts w:ascii="Times New Roman" w:hAnsi="Times New Roman"/>
        </w:rPr>
        <w:t>. In fact, it seems fairly rare to find cognitivist literary critics who simply ignore culture and history. The bias of the profession as a whole is such that one simply has to know certain things about, say, Shakespeare’s time and place if one is going to be accepted as a critic of Shakespeare, if one is going to publish on Shakespeare, and so on. It simply is not possible, for example, to treat Shakespeare’s language and references as if they were not historically specific. Of course, this is not to say that the cultural part of cognitive literary study is always done well. But the same point holds for the cultural part of cultural studies. For example, one could argue that an unfortunate amount of postcolonial criticism in the culture studies mode is somewhat tone deaf to ethical, metaphysical, or other nuances in, say, South Asian cultural traditions. But the crucial point is that discursive and institutional constraints inhibit the degree to which criticism of any theoretical orientation can ignore history or culture.</w:t>
      </w:r>
    </w:p>
    <w:p w:rsidR="00CA4F6F" w:rsidRPr="00AD3E25" w:rsidRDefault="00CA4F6F" w:rsidP="00AD3E25">
      <w:pPr>
        <w:spacing w:after="0"/>
        <w:rPr>
          <w:rFonts w:ascii="Times New Roman" w:hAnsi="Times New Roman"/>
        </w:rPr>
      </w:pPr>
      <w:r w:rsidRPr="00AD3E25">
        <w:rPr>
          <w:rFonts w:ascii="Times New Roman" w:hAnsi="Times New Roman"/>
        </w:rPr>
        <w:tab/>
        <w:t xml:space="preserve">In contrast, there seem to be no constraints whatsoever on the degree to which criticism can ignore neuroscience, cognitive and affective research, developmental studies, group dynamics, or any other forms of understanding that contribute to our sense of cross-cultural and trans-historical commonality. In other words, it simply is not the case that cognitivists grossly ignore culture and history. But it is commonly the case that </w:t>
      </w:r>
      <w:proofErr w:type="spellStart"/>
      <w:r w:rsidRPr="00AD3E25">
        <w:rPr>
          <w:rFonts w:ascii="Times New Roman" w:hAnsi="Times New Roman"/>
        </w:rPr>
        <w:t>culturalists</w:t>
      </w:r>
      <w:proofErr w:type="spellEnd"/>
      <w:r w:rsidRPr="00AD3E25">
        <w:rPr>
          <w:rFonts w:ascii="Times New Roman" w:hAnsi="Times New Roman"/>
        </w:rPr>
        <w:t xml:space="preserve"> grossly ignore cognitivist and related research. Put more crudely, the prototypical scenario I sketched at the</w:t>
      </w:r>
      <w:r>
        <w:rPr>
          <w:rFonts w:ascii="Times New Roman" w:hAnsi="Times New Roman"/>
        </w:rPr>
        <w:t xml:space="preserve"> outset is backwards. I</w:t>
      </w:r>
      <w:r w:rsidRPr="00AD3E25">
        <w:rPr>
          <w:rFonts w:ascii="Times New Roman" w:hAnsi="Times New Roman"/>
        </w:rPr>
        <w:t xml:space="preserve">t should be Brainstem who worries over what </w:t>
      </w:r>
      <w:r>
        <w:rPr>
          <w:rFonts w:ascii="Times New Roman" w:hAnsi="Times New Roman"/>
        </w:rPr>
        <w:t xml:space="preserve">Professor de la Culture-Histoire </w:t>
      </w:r>
      <w:r w:rsidRPr="00AD3E25">
        <w:rPr>
          <w:rFonts w:ascii="Times New Roman" w:hAnsi="Times New Roman"/>
        </w:rPr>
        <w:t>leave</w:t>
      </w:r>
      <w:r>
        <w:rPr>
          <w:rFonts w:ascii="Times New Roman" w:hAnsi="Times New Roman"/>
        </w:rPr>
        <w:t>s</w:t>
      </w:r>
      <w:r w:rsidRPr="00AD3E25">
        <w:rPr>
          <w:rFonts w:ascii="Times New Roman" w:hAnsi="Times New Roman"/>
        </w:rPr>
        <w:t xml:space="preserve"> out.</w:t>
      </w:r>
    </w:p>
    <w:p w:rsidR="00CA4F6F" w:rsidRPr="00AD3E25" w:rsidRDefault="00CA4F6F" w:rsidP="00AD3E25">
      <w:pPr>
        <w:spacing w:after="0"/>
        <w:ind w:firstLine="720"/>
        <w:rPr>
          <w:rFonts w:ascii="Times New Roman" w:hAnsi="Times New Roman"/>
        </w:rPr>
      </w:pPr>
      <w:r w:rsidRPr="00AD3E25">
        <w:rPr>
          <w:rFonts w:ascii="Times New Roman" w:hAnsi="Times New Roman"/>
        </w:rPr>
        <w:t xml:space="preserve">If, then, the problem is that the entire discussion of cognition and culture is topsy-turvy, what difference would it make if we tried to correct the problem by introducing cognitive study into </w:t>
      </w:r>
      <w:proofErr w:type="spellStart"/>
      <w:r w:rsidRPr="00AD3E25">
        <w:rPr>
          <w:rFonts w:ascii="Times New Roman" w:hAnsi="Times New Roman"/>
        </w:rPr>
        <w:t>culturalism</w:t>
      </w:r>
      <w:proofErr w:type="spellEnd"/>
      <w:r w:rsidRPr="00AD3E25">
        <w:rPr>
          <w:rFonts w:ascii="Times New Roman" w:hAnsi="Times New Roman"/>
        </w:rPr>
        <w:t xml:space="preserve">? Here, we may briefly consider Gallagher and Greenblatt’s well-known discussion of the potato debate, the debate over feeding English workers potatoes. Gallagher and Greenblatt have discussed this topic in an illuminating way. Nothing I wish to say undermines their historical work. But some conclusions they draw from this seem problematic. Specifically, they show that a wide range of factors were involved in the debate and in the rejection of potatoes by English workers. They conclude from this that there is a “need for a thorough </w:t>
      </w:r>
      <w:proofErr w:type="spellStart"/>
      <w:r w:rsidRPr="00AD3E25">
        <w:rPr>
          <w:rFonts w:ascii="Times New Roman" w:hAnsi="Times New Roman"/>
        </w:rPr>
        <w:t>historicization</w:t>
      </w:r>
      <w:proofErr w:type="spellEnd"/>
      <w:r w:rsidRPr="00AD3E25">
        <w:rPr>
          <w:rFonts w:ascii="Times New Roman" w:hAnsi="Times New Roman"/>
        </w:rPr>
        <w:t xml:space="preserve"> of what counted as food and what felt like hunger” (125). </w:t>
      </w:r>
    </w:p>
    <w:p w:rsidR="00CA4F6F" w:rsidRPr="00AD3E25" w:rsidRDefault="00CA4F6F" w:rsidP="00AD3E25">
      <w:pPr>
        <w:spacing w:after="0"/>
        <w:ind w:firstLine="720"/>
        <w:rPr>
          <w:rFonts w:ascii="Times New Roman" w:hAnsi="Times New Roman"/>
        </w:rPr>
      </w:pPr>
      <w:r w:rsidRPr="00AD3E25">
        <w:rPr>
          <w:rFonts w:ascii="Times New Roman" w:hAnsi="Times New Roman"/>
        </w:rPr>
        <w:lastRenderedPageBreak/>
        <w:t>My point here is not to argue that this claim is entirely wrong. Gallagher and Greenblatt are certainly getting at something. But they have formulated their conclusion in a way that grossly overstates the case. As such, it seems more mistaken than correct. This is largely because they leave out any sense of what constitutes hunger.</w:t>
      </w:r>
    </w:p>
    <w:p w:rsidR="00CA4F6F" w:rsidRPr="00AD3E25" w:rsidRDefault="00CA4F6F" w:rsidP="00AD3E25">
      <w:pPr>
        <w:spacing w:after="0"/>
        <w:ind w:firstLine="720"/>
        <w:rPr>
          <w:rFonts w:ascii="Times New Roman" w:hAnsi="Times New Roman"/>
        </w:rPr>
      </w:pPr>
      <w:r w:rsidRPr="00AD3E25">
        <w:rPr>
          <w:rFonts w:ascii="Times New Roman" w:hAnsi="Times New Roman"/>
        </w:rPr>
        <w:t>Here, we need to briefly sketch an account of emotion or motivation in general and hunger in particular. Emotion or motivation systems are largely sub-cortical systems, activated by a combination of endogenous and exogenous (body-internal and body-external) stimuli, which lead to subjective experiences of positive or negative hedonic tone, and orient one toward behavior that will reduce aversive experiences or enhance pleasurable experiences. The basic operation of these systems is adaptive in that central cases of aversive experiences are harmful and central cases of pleasurable experiences are conducive toward health or reproduction. For example, the fear system produces an aversive feeling and leads to flight from potentially dangerous situations. The different emotion systems may enhance or inhibit one another. For example, fear and attachment tend to be mutually inhibiting. Finally, there are reciprocal connections between prefrontal cortex and emotion systems such that emotional response may affect inferential and related processing, but emotional response may also be inhibited by such processing. For example, fear responses may guide one’s long-term planning, but one’s reflection on a current situation may serve to inhibit one’s fear response—perhaps one’s aversive feeling or perhaps only one’s behavior.</w:t>
      </w:r>
    </w:p>
    <w:p w:rsidR="00CA4F6F" w:rsidRPr="00AD3E25" w:rsidRDefault="00CA4F6F" w:rsidP="00AD3E25">
      <w:pPr>
        <w:spacing w:after="0"/>
        <w:ind w:firstLine="720"/>
        <w:rPr>
          <w:rFonts w:ascii="Times New Roman" w:hAnsi="Times New Roman"/>
        </w:rPr>
      </w:pPr>
      <w:r w:rsidRPr="00AD3E25">
        <w:rPr>
          <w:rFonts w:ascii="Times New Roman" w:hAnsi="Times New Roman"/>
        </w:rPr>
        <w:t xml:space="preserve">Hunger is a surprisingly complex case. First, there appear to be two distinct, but interrelated systems that are sometimes referred to as “hunger.” (On these systems, see chapters four and five of Wong.) One is the taste preference system. This is a system that bears on our hedonic relation to the experience of eating certain objects. Like other motivation systems, this has both innate and acquired components. The innate component involves, for example, an evolved aversion to the taste of certain toxins. The acquired component is largely a matter of habituation to certain tastes, as well as the association of tastes with emotional memories, particularly in critical period experiences. (These experiences would include, for example, the association of a particular food with food poisoning.) </w:t>
      </w:r>
    </w:p>
    <w:p w:rsidR="00CA4F6F" w:rsidRPr="00AD3E25" w:rsidRDefault="00CA4F6F" w:rsidP="00AD3E25">
      <w:pPr>
        <w:spacing w:after="0"/>
        <w:ind w:firstLine="720"/>
        <w:rPr>
          <w:rFonts w:ascii="Times New Roman" w:hAnsi="Times New Roman"/>
        </w:rPr>
      </w:pPr>
      <w:r w:rsidRPr="00AD3E25">
        <w:rPr>
          <w:rFonts w:ascii="Times New Roman" w:hAnsi="Times New Roman"/>
        </w:rPr>
        <w:t>The other relevant motivational system is that of feeding. Feeding</w:t>
      </w:r>
      <w:r>
        <w:rPr>
          <w:rFonts w:ascii="Times New Roman" w:hAnsi="Times New Roman"/>
        </w:rPr>
        <w:t xml:space="preserve"> behavior is a</w:t>
      </w:r>
      <w:r w:rsidRPr="00AD3E25">
        <w:rPr>
          <w:rFonts w:ascii="Times New Roman" w:hAnsi="Times New Roman"/>
        </w:rPr>
        <w:t xml:space="preserve"> result of blood sugar regulation, gene expression related to amount of fatty tissue (see Gilliam, </w:t>
      </w:r>
      <w:proofErr w:type="spellStart"/>
      <w:r w:rsidRPr="00AD3E25">
        <w:rPr>
          <w:rFonts w:ascii="Times New Roman" w:hAnsi="Times New Roman"/>
        </w:rPr>
        <w:t>Kandel</w:t>
      </w:r>
      <w:proofErr w:type="spellEnd"/>
      <w:r w:rsidRPr="00AD3E25">
        <w:rPr>
          <w:rFonts w:ascii="Times New Roman" w:hAnsi="Times New Roman"/>
        </w:rPr>
        <w:t xml:space="preserve">, and </w:t>
      </w:r>
      <w:proofErr w:type="spellStart"/>
      <w:r w:rsidRPr="00AD3E25">
        <w:rPr>
          <w:rFonts w:ascii="Times New Roman" w:hAnsi="Times New Roman"/>
        </w:rPr>
        <w:t>Jessel</w:t>
      </w:r>
      <w:proofErr w:type="spellEnd"/>
      <w:r w:rsidRPr="00AD3E25">
        <w:rPr>
          <w:rFonts w:ascii="Times New Roman" w:hAnsi="Times New Roman"/>
        </w:rPr>
        <w:t xml:space="preserve">  47), and to some extent other factors such as the stimulation of stretch receptors in the stomach (see Wong 91). This system is closer to what we would </w:t>
      </w:r>
      <w:r>
        <w:rPr>
          <w:rFonts w:ascii="Times New Roman" w:hAnsi="Times New Roman"/>
        </w:rPr>
        <w:t xml:space="preserve">ordinarily refer to as “hunger,” as </w:t>
      </w:r>
      <w:r w:rsidRPr="00AD3E25">
        <w:rPr>
          <w:rFonts w:ascii="Times New Roman" w:hAnsi="Times New Roman"/>
        </w:rPr>
        <w:t>in the phrase “I feel hungry” or when we say “I need to eat something.” In contrast, the taste preference system is more relevant to such expressions as “I’m hungry for a piece of cheesecake” or “I want something tasty.” These two systems are probably mutually excitatory and mutually inhibitory (though the relation may be asymmetrical). In addition, both are partially inhibited by disgust, though disgust appears to have a stronger impact o</w:t>
      </w:r>
      <w:r>
        <w:rPr>
          <w:rFonts w:ascii="Times New Roman" w:hAnsi="Times New Roman"/>
        </w:rPr>
        <w:t xml:space="preserve">n </w:t>
      </w:r>
      <w:r w:rsidRPr="00AD3E25">
        <w:rPr>
          <w:rFonts w:ascii="Times New Roman" w:hAnsi="Times New Roman"/>
        </w:rPr>
        <w:t>taste preference than on feeding motivation.</w:t>
      </w:r>
    </w:p>
    <w:p w:rsidR="00CA4F6F" w:rsidRPr="00AD3E25" w:rsidRDefault="00CA4F6F" w:rsidP="00AD3E25">
      <w:pPr>
        <w:spacing w:after="0"/>
        <w:ind w:firstLine="720"/>
        <w:rPr>
          <w:rFonts w:ascii="Times New Roman" w:hAnsi="Times New Roman"/>
        </w:rPr>
      </w:pPr>
      <w:r w:rsidRPr="00AD3E25">
        <w:rPr>
          <w:rFonts w:ascii="Times New Roman" w:hAnsi="Times New Roman"/>
        </w:rPr>
        <w:t xml:space="preserve">Here, we may return to </w:t>
      </w:r>
      <w:r>
        <w:rPr>
          <w:rFonts w:ascii="Times New Roman" w:hAnsi="Times New Roman"/>
        </w:rPr>
        <w:t xml:space="preserve">Gallagher </w:t>
      </w:r>
      <w:r w:rsidRPr="00AD3E25">
        <w:rPr>
          <w:rFonts w:ascii="Times New Roman" w:hAnsi="Times New Roman"/>
        </w:rPr>
        <w:t xml:space="preserve">and Greenblatt’s claims, specifically their assertion that we need to historicize hunger. An understanding of human hunger motivation suggests the following. First, it is extremely unlikely that feeding motivation varies historically. There are some exceptions to this. In cases of traumatic over-arousal, neurological systems suffer damage. This is undoubtedly true of the hunger system. Thus chronic hunger undoubtedly produces changes—almost certainly deleterious changes—in </w:t>
      </w:r>
      <w:r w:rsidRPr="00AD3E25">
        <w:rPr>
          <w:rFonts w:ascii="Times New Roman" w:hAnsi="Times New Roman"/>
        </w:rPr>
        <w:lastRenderedPageBreak/>
        <w:t xml:space="preserve">the operation of the feeding system in particular. One may speak of this as “historical” if one wishes. But the real variable is not historical culture, but famine (whatever the ambient culture might be). </w:t>
      </w:r>
    </w:p>
    <w:p w:rsidR="00CA4F6F" w:rsidRPr="00AD3E25" w:rsidRDefault="00CA4F6F" w:rsidP="00AD3E25">
      <w:pPr>
        <w:spacing w:after="0"/>
        <w:ind w:firstLine="720"/>
        <w:rPr>
          <w:rFonts w:ascii="Times New Roman" w:hAnsi="Times New Roman"/>
        </w:rPr>
      </w:pPr>
      <w:r w:rsidRPr="00AD3E25">
        <w:rPr>
          <w:rFonts w:ascii="Times New Roman" w:hAnsi="Times New Roman"/>
        </w:rPr>
        <w:t xml:space="preserve">So, if English workers feel hunger in the same ways and for the same reasons (changes in blood glucose, decline in fatty tissue, etc.), what explains the rejection of the potato? A neurological model suggests that there must have been some sort of inhibition of the feeding system. This leads to three possibilities. First, there could be inhibition from taste preference. Second, there could be inhibition from the disgust system. Finally, there could be prefrontal inhibition. </w:t>
      </w:r>
    </w:p>
    <w:p w:rsidR="00CA4F6F" w:rsidRPr="00AD3E25" w:rsidRDefault="00CA4F6F" w:rsidP="00AD3E25">
      <w:pPr>
        <w:spacing w:after="0"/>
        <w:ind w:firstLine="720"/>
        <w:rPr>
          <w:rFonts w:ascii="Times New Roman" w:hAnsi="Times New Roman"/>
        </w:rPr>
      </w:pPr>
      <w:r w:rsidRPr="00AD3E25">
        <w:rPr>
          <w:rFonts w:ascii="Times New Roman" w:hAnsi="Times New Roman"/>
        </w:rPr>
        <w:t xml:space="preserve">Undoubtedly, there was some taste preference inhibition. It seems that our emotion systems are calibrated slightly toward </w:t>
      </w:r>
      <w:proofErr w:type="spellStart"/>
      <w:r w:rsidRPr="00AD3E25">
        <w:rPr>
          <w:rFonts w:ascii="Times New Roman" w:hAnsi="Times New Roman"/>
        </w:rPr>
        <w:t>dispreference</w:t>
      </w:r>
      <w:proofErr w:type="spellEnd"/>
      <w:r w:rsidRPr="00AD3E25">
        <w:rPr>
          <w:rFonts w:ascii="Times New Roman" w:hAnsi="Times New Roman"/>
        </w:rPr>
        <w:t xml:space="preserve">. For example, when faced with a stranger, our initial impulse is not trust, but mild distrust or wariness (see </w:t>
      </w:r>
      <w:proofErr w:type="spellStart"/>
      <w:r w:rsidRPr="00AD3E25">
        <w:rPr>
          <w:rFonts w:ascii="Times New Roman" w:hAnsi="Times New Roman"/>
        </w:rPr>
        <w:t>Oatley</w:t>
      </w:r>
      <w:proofErr w:type="spellEnd"/>
      <w:r w:rsidRPr="00AD3E25">
        <w:rPr>
          <w:rFonts w:ascii="Times New Roman" w:hAnsi="Times New Roman"/>
        </w:rPr>
        <w:t xml:space="preserve"> 73; for the more general point, see </w:t>
      </w:r>
      <w:proofErr w:type="spellStart"/>
      <w:r w:rsidRPr="00AD3E25">
        <w:rPr>
          <w:rFonts w:ascii="Times New Roman" w:hAnsi="Times New Roman"/>
        </w:rPr>
        <w:t>Zajonc</w:t>
      </w:r>
      <w:proofErr w:type="spellEnd"/>
      <w:r w:rsidRPr="00AD3E25">
        <w:rPr>
          <w:rFonts w:ascii="Times New Roman" w:hAnsi="Times New Roman"/>
        </w:rPr>
        <w:t xml:space="preserve"> 35). This is presumably the case for our taste and indeed feeding systems as well. Thus the lack of habituation to potatoes would produce a slight aversion. This is one implication of Gallagher and Greenblatt’s argument that is unsurprising. It seems clear that taste preference is historically</w:t>
      </w:r>
      <w:r>
        <w:rPr>
          <w:rFonts w:ascii="Times New Roman" w:hAnsi="Times New Roman"/>
        </w:rPr>
        <w:t xml:space="preserve"> and culturally differentiated in certain respects</w:t>
      </w:r>
      <w:r w:rsidRPr="00AD3E25">
        <w:rPr>
          <w:rFonts w:ascii="Times New Roman" w:hAnsi="Times New Roman"/>
        </w:rPr>
        <w:t>.</w:t>
      </w:r>
    </w:p>
    <w:p w:rsidR="00CA4F6F" w:rsidRPr="00AD3E25" w:rsidRDefault="00CA4F6F" w:rsidP="00AD3E25">
      <w:pPr>
        <w:spacing w:after="0"/>
        <w:ind w:firstLine="720"/>
        <w:rPr>
          <w:rFonts w:ascii="Times New Roman" w:hAnsi="Times New Roman"/>
        </w:rPr>
      </w:pPr>
      <w:r w:rsidRPr="00AD3E25">
        <w:rPr>
          <w:rFonts w:ascii="Times New Roman" w:hAnsi="Times New Roman"/>
        </w:rPr>
        <w:t xml:space="preserve">Even more importantly, Gallagher and Greenblatt make a good case that the debates over the potato involved the invocation of repulsive imagery, particularly of dirt. Cognitively, this rhetoric would have the effect of associating potatoes with </w:t>
      </w:r>
      <w:proofErr w:type="spellStart"/>
      <w:r w:rsidRPr="00AD3E25">
        <w:rPr>
          <w:rFonts w:ascii="Times New Roman" w:hAnsi="Times New Roman"/>
        </w:rPr>
        <w:t>digust</w:t>
      </w:r>
      <w:proofErr w:type="spellEnd"/>
      <w:r w:rsidRPr="00AD3E25">
        <w:rPr>
          <w:rFonts w:ascii="Times New Roman" w:hAnsi="Times New Roman"/>
        </w:rPr>
        <w:t xml:space="preserve">-relevant emotional memories. Thus we have another form of inhibition that we would expect—the inhibition of both taste preference and feeding by an activated disgust system. Here, too, the conclusion is not terribly surprising. </w:t>
      </w:r>
    </w:p>
    <w:p w:rsidR="00CA4F6F" w:rsidRPr="00AD3E25" w:rsidRDefault="00CA4F6F" w:rsidP="00AD3E25">
      <w:pPr>
        <w:spacing w:after="0"/>
        <w:ind w:firstLine="720"/>
        <w:rPr>
          <w:rFonts w:ascii="Times New Roman" w:hAnsi="Times New Roman"/>
        </w:rPr>
      </w:pPr>
      <w:r w:rsidRPr="00AD3E25">
        <w:rPr>
          <w:rFonts w:ascii="Times New Roman" w:hAnsi="Times New Roman"/>
        </w:rPr>
        <w:t xml:space="preserve">This is not to say, however, that Gallagher and Greenblatt’s conclusions are banal. First, the exploration of dirt imagery in the rhetoric of the debate is revealing. Second, we really have not yet explained the rejection of the potato. Empirical studies show that the disgust system does not have strong inhibitory force on feeding behavior (see </w:t>
      </w:r>
      <w:proofErr w:type="spellStart"/>
      <w:r w:rsidRPr="00AD3E25">
        <w:rPr>
          <w:rFonts w:ascii="Times New Roman" w:hAnsi="Times New Roman"/>
        </w:rPr>
        <w:t>Hoefling</w:t>
      </w:r>
      <w:proofErr w:type="spellEnd"/>
      <w:r w:rsidRPr="00AD3E25">
        <w:rPr>
          <w:rFonts w:ascii="Times New Roman" w:hAnsi="Times New Roman"/>
        </w:rPr>
        <w:t xml:space="preserve"> and colleagues). Of course, we are dealing with abstract debates here, not a hungry person faced directly with a potato. Nonetheless, it seems that there are other things going on. This is where the Gallagher and Greenblatt</w:t>
      </w:r>
      <w:r>
        <w:rPr>
          <w:rFonts w:ascii="Times New Roman" w:hAnsi="Times New Roman"/>
        </w:rPr>
        <w:t>’s</w:t>
      </w:r>
      <w:r w:rsidRPr="00AD3E25">
        <w:rPr>
          <w:rFonts w:ascii="Times New Roman" w:hAnsi="Times New Roman"/>
        </w:rPr>
        <w:t xml:space="preserve"> analysis is</w:t>
      </w:r>
      <w:r>
        <w:rPr>
          <w:rFonts w:ascii="Times New Roman" w:hAnsi="Times New Roman"/>
        </w:rPr>
        <w:t xml:space="preserve"> most</w:t>
      </w:r>
      <w:r w:rsidRPr="00AD3E25">
        <w:rPr>
          <w:rFonts w:ascii="Times New Roman" w:hAnsi="Times New Roman"/>
        </w:rPr>
        <w:t xml:space="preserve"> revealing. Or, rather, this is where their analysis could be revealing, if integrated with neuroscience of motivation (rather than being framed in terms of </w:t>
      </w:r>
      <w:proofErr w:type="spellStart"/>
      <w:r w:rsidRPr="00AD3E25">
        <w:rPr>
          <w:rFonts w:ascii="Times New Roman" w:hAnsi="Times New Roman"/>
        </w:rPr>
        <w:t>Saussurean</w:t>
      </w:r>
      <w:proofErr w:type="spellEnd"/>
      <w:r w:rsidRPr="00AD3E25">
        <w:rPr>
          <w:rFonts w:ascii="Times New Roman" w:hAnsi="Times New Roman"/>
        </w:rPr>
        <w:t xml:space="preserve"> “signifiers” [112]).</w:t>
      </w:r>
    </w:p>
    <w:p w:rsidR="00CA4F6F" w:rsidRPr="00AD3E25" w:rsidRDefault="00CA4F6F" w:rsidP="00AD3E25">
      <w:pPr>
        <w:spacing w:after="0"/>
        <w:ind w:firstLine="720"/>
        <w:rPr>
          <w:rFonts w:ascii="Times New Roman" w:hAnsi="Times New Roman"/>
        </w:rPr>
      </w:pPr>
      <w:r w:rsidRPr="00AD3E25">
        <w:rPr>
          <w:rFonts w:ascii="Times New Roman" w:hAnsi="Times New Roman"/>
        </w:rPr>
        <w:t xml:space="preserve">Specifically, Gallagher and Greenblatt suggest two other reasons for the rejection of the potato. First, there is anti-Irish feeling and the association of the Irish with the potato. It is well established that out-groups inspire anterior insula activation, which suggests disgust (see Fiske, Harris, and </w:t>
      </w:r>
      <w:proofErr w:type="spellStart"/>
      <w:r w:rsidRPr="00AD3E25">
        <w:rPr>
          <w:rFonts w:ascii="Times New Roman" w:hAnsi="Times New Roman"/>
        </w:rPr>
        <w:t>Cuddy</w:t>
      </w:r>
      <w:proofErr w:type="spellEnd"/>
      <w:r>
        <w:rPr>
          <w:rFonts w:ascii="Times New Roman" w:hAnsi="Times New Roman"/>
        </w:rPr>
        <w:t>)</w:t>
      </w:r>
      <w:r w:rsidRPr="00AD3E25">
        <w:rPr>
          <w:rFonts w:ascii="Times New Roman" w:hAnsi="Times New Roman"/>
        </w:rPr>
        <w:t>. Gallagher and Greenblatt’s argument indicates that group division can lead to a hyper-activation of the disgust system regarding foods that are distinctively associated with the out-group. If valid, the suggestion genuinely advances our understanding of human motivation systems as well as our understanding of inter-group relations. I know of no research on disgust that makes this connection. Thus it is an example of the ways in which historical and cultural study can advance cognitive knowledge. On the other hand, we can gain this insight only by</w:t>
      </w:r>
      <w:r>
        <w:rPr>
          <w:rFonts w:ascii="Times New Roman" w:hAnsi="Times New Roman"/>
        </w:rPr>
        <w:t xml:space="preserve"> recognizing that hunger</w:t>
      </w:r>
      <w:r w:rsidRPr="00AD3E25">
        <w:rPr>
          <w:rFonts w:ascii="Times New Roman" w:hAnsi="Times New Roman"/>
        </w:rPr>
        <w:t xml:space="preserve"> should not be subjected</w:t>
      </w:r>
      <w:r>
        <w:rPr>
          <w:rFonts w:ascii="Times New Roman" w:hAnsi="Times New Roman"/>
        </w:rPr>
        <w:t xml:space="preserve"> to “thorough </w:t>
      </w:r>
      <w:proofErr w:type="spellStart"/>
      <w:r>
        <w:rPr>
          <w:rFonts w:ascii="Times New Roman" w:hAnsi="Times New Roman"/>
        </w:rPr>
        <w:t>historicization</w:t>
      </w:r>
      <w:proofErr w:type="spellEnd"/>
      <w:r>
        <w:rPr>
          <w:rFonts w:ascii="Times New Roman" w:hAnsi="Times New Roman"/>
        </w:rPr>
        <w:t xml:space="preserve">.” Rather, a partial </w:t>
      </w:r>
      <w:proofErr w:type="spellStart"/>
      <w:r>
        <w:rPr>
          <w:rFonts w:ascii="Times New Roman" w:hAnsi="Times New Roman"/>
        </w:rPr>
        <w:t>historicization</w:t>
      </w:r>
      <w:proofErr w:type="spellEnd"/>
      <w:r>
        <w:rPr>
          <w:rFonts w:ascii="Times New Roman" w:hAnsi="Times New Roman"/>
        </w:rPr>
        <w:t xml:space="preserve"> </w:t>
      </w:r>
      <w:r w:rsidRPr="00AD3E25">
        <w:rPr>
          <w:rFonts w:ascii="Times New Roman" w:hAnsi="Times New Roman"/>
        </w:rPr>
        <w:t>should be integrated with our understanding of human motivation systems.</w:t>
      </w:r>
    </w:p>
    <w:p w:rsidR="00CA4F6F" w:rsidRPr="00AD3E25" w:rsidRDefault="00CA4F6F" w:rsidP="00AD3E25">
      <w:pPr>
        <w:spacing w:after="0"/>
        <w:ind w:firstLine="720"/>
        <w:rPr>
          <w:rFonts w:ascii="Times New Roman" w:hAnsi="Times New Roman"/>
        </w:rPr>
      </w:pPr>
      <w:r w:rsidRPr="00AD3E25">
        <w:rPr>
          <w:rFonts w:ascii="Times New Roman" w:hAnsi="Times New Roman"/>
        </w:rPr>
        <w:lastRenderedPageBreak/>
        <w:t xml:space="preserve">The second point about Gallagher and Greenblatt’s analysis is that not all the rejection is due to disgust. There were rational reasons to resist the food insecurity that tended to go along with reduction of subsistence to the potato crop. This gives us a reason for the inhibition of feeding motivations that is not first of all subcortical, but rather prefrontal. (The point applies to the working classes themselves, but also to the capitalist and landlord classes for slightly more complex economic reasons, which Gallagher and Greenblatt outline.) This too is remarkable. It suggests, for example, that at least some of the workers were led to inhibit potentially strong motivational impulses due to long-term planning. This is something that one rarely associates with masses. But it is implied by Gallagher and Greenblatt’s research—though, again, this implication is recoverable only when that research is combined with </w:t>
      </w:r>
      <w:proofErr w:type="spellStart"/>
      <w:r w:rsidRPr="00AD3E25">
        <w:rPr>
          <w:rFonts w:ascii="Times New Roman" w:hAnsi="Times New Roman"/>
        </w:rPr>
        <w:t>neuroscientific</w:t>
      </w:r>
      <w:proofErr w:type="spellEnd"/>
      <w:r w:rsidRPr="00AD3E25">
        <w:rPr>
          <w:rFonts w:ascii="Times New Roman" w:hAnsi="Times New Roman"/>
        </w:rPr>
        <w:t xml:space="preserve"> work.</w:t>
      </w:r>
    </w:p>
    <w:p w:rsidR="00CA4F6F" w:rsidRPr="00AD3E25" w:rsidRDefault="00CA4F6F" w:rsidP="00AD3E25">
      <w:pPr>
        <w:spacing w:after="0"/>
        <w:ind w:firstLine="720"/>
        <w:rPr>
          <w:rFonts w:ascii="Times New Roman" w:hAnsi="Times New Roman"/>
        </w:rPr>
      </w:pPr>
      <w:r w:rsidRPr="00AD3E25">
        <w:rPr>
          <w:rFonts w:ascii="Times New Roman" w:hAnsi="Times New Roman"/>
        </w:rPr>
        <w:t>In sum, it seems clear that there is great benefit to the integration of cognitive science and cultural studies. However, common views in the field frame the issue wrongly. Cognitive research has already been drawing on cultural study. What has been lacking is the reverse. As to the question posed in my title—is cultural study possible without cognitive neuro</w:t>
      </w:r>
      <w:r>
        <w:rPr>
          <w:rFonts w:ascii="Times New Roman" w:hAnsi="Times New Roman"/>
        </w:rPr>
        <w:t>science?—</w:t>
      </w:r>
      <w:r w:rsidRPr="00AD3E25">
        <w:rPr>
          <w:rFonts w:ascii="Times New Roman" w:hAnsi="Times New Roman"/>
        </w:rPr>
        <w:t>the answer is “Yes, but only in an unnecessarily impoverished form.”</w:t>
      </w:r>
    </w:p>
    <w:p w:rsidR="00CA4F6F" w:rsidRPr="00AD3E25" w:rsidRDefault="00CA4F6F" w:rsidP="00AD3E25">
      <w:pPr>
        <w:spacing w:after="0"/>
        <w:rPr>
          <w:rFonts w:ascii="Times New Roman" w:hAnsi="Times New Roman"/>
        </w:rPr>
      </w:pPr>
    </w:p>
    <w:p w:rsidR="00CA4F6F" w:rsidRPr="00AD3E25" w:rsidRDefault="00CA4F6F" w:rsidP="00AD3E25">
      <w:pPr>
        <w:spacing w:after="0"/>
        <w:jc w:val="center"/>
        <w:rPr>
          <w:rFonts w:ascii="Times New Roman" w:hAnsi="Times New Roman"/>
        </w:rPr>
      </w:pPr>
      <w:r w:rsidRPr="00AD3E25">
        <w:rPr>
          <w:rFonts w:ascii="Times New Roman" w:hAnsi="Times New Roman"/>
        </w:rPr>
        <w:t>Works Cited</w:t>
      </w:r>
    </w:p>
    <w:p w:rsidR="00CA4F6F" w:rsidRPr="00AD3E25" w:rsidRDefault="00CA4F6F" w:rsidP="00AD3E25">
      <w:pPr>
        <w:spacing w:after="0"/>
        <w:ind w:left="720" w:right="-720" w:hanging="720"/>
        <w:rPr>
          <w:rFonts w:ascii="Times New Roman" w:hAnsi="Times New Roman" w:cs="Arial"/>
        </w:rPr>
      </w:pPr>
    </w:p>
    <w:p w:rsidR="00CA4F6F" w:rsidRPr="00AD3E25" w:rsidRDefault="00CA4F6F" w:rsidP="00AD3E25">
      <w:pPr>
        <w:spacing w:after="0"/>
        <w:ind w:left="720" w:right="-720" w:hanging="720"/>
        <w:rPr>
          <w:rFonts w:ascii="Times New Roman" w:hAnsi="Times New Roman" w:cs="Arial"/>
        </w:rPr>
      </w:pPr>
      <w:r w:rsidRPr="00AD3E25">
        <w:rPr>
          <w:rFonts w:ascii="Times New Roman" w:hAnsi="Times New Roman" w:cs="Arial"/>
        </w:rPr>
        <w:t xml:space="preserve">Fiske, Susan T., </w:t>
      </w:r>
      <w:proofErr w:type="spellStart"/>
      <w:r w:rsidRPr="00AD3E25">
        <w:rPr>
          <w:rFonts w:ascii="Times New Roman" w:hAnsi="Times New Roman" w:cs="Arial"/>
        </w:rPr>
        <w:t>Lasana</w:t>
      </w:r>
      <w:proofErr w:type="spellEnd"/>
      <w:r w:rsidRPr="00AD3E25">
        <w:rPr>
          <w:rFonts w:ascii="Times New Roman" w:hAnsi="Times New Roman" w:cs="Arial"/>
        </w:rPr>
        <w:t xml:space="preserve"> T. Harris, Amy J. C. </w:t>
      </w:r>
      <w:proofErr w:type="spellStart"/>
      <w:r w:rsidRPr="00AD3E25">
        <w:rPr>
          <w:rFonts w:ascii="Times New Roman" w:hAnsi="Times New Roman" w:cs="Arial"/>
        </w:rPr>
        <w:t>Cuddy</w:t>
      </w:r>
      <w:proofErr w:type="spellEnd"/>
      <w:r w:rsidRPr="00AD3E25">
        <w:rPr>
          <w:rFonts w:ascii="Times New Roman" w:hAnsi="Times New Roman" w:cs="Arial"/>
        </w:rPr>
        <w:t xml:space="preserve">. </w:t>
      </w:r>
      <w:proofErr w:type="gramStart"/>
      <w:r w:rsidRPr="00AD3E25">
        <w:rPr>
          <w:rFonts w:ascii="Times New Roman" w:hAnsi="Times New Roman" w:cs="Arial"/>
        </w:rPr>
        <w:t>“Why Ordinary People Torture Enemy Prisoners.”</w:t>
      </w:r>
      <w:proofErr w:type="gramEnd"/>
      <w:r w:rsidRPr="00AD3E25">
        <w:rPr>
          <w:rFonts w:ascii="Times New Roman" w:hAnsi="Times New Roman" w:cs="Arial"/>
        </w:rPr>
        <w:t xml:space="preserve"> </w:t>
      </w:r>
      <w:r w:rsidRPr="00AD3E25">
        <w:rPr>
          <w:rFonts w:ascii="Times New Roman" w:hAnsi="Times New Roman" w:cs="Arial"/>
          <w:i/>
        </w:rPr>
        <w:t>Science</w:t>
      </w:r>
      <w:r w:rsidRPr="00AD3E25">
        <w:rPr>
          <w:rFonts w:ascii="Times New Roman" w:hAnsi="Times New Roman" w:cs="Arial"/>
        </w:rPr>
        <w:t xml:space="preserve"> 306.5701 (26 November 2004): 1482-83.</w:t>
      </w:r>
    </w:p>
    <w:p w:rsidR="00CA4F6F" w:rsidRPr="00AD3E25" w:rsidRDefault="00CA4F6F" w:rsidP="00AD3E25">
      <w:pPr>
        <w:pStyle w:val="NoSpacing"/>
        <w:ind w:left="720" w:right="-720" w:hanging="720"/>
        <w:rPr>
          <w:sz w:val="24"/>
        </w:rPr>
      </w:pPr>
      <w:proofErr w:type="spellStart"/>
      <w:r w:rsidRPr="00AD3E25">
        <w:rPr>
          <w:rFonts w:cs="Arial"/>
          <w:sz w:val="24"/>
        </w:rPr>
        <w:t>Forgas</w:t>
      </w:r>
      <w:proofErr w:type="spellEnd"/>
      <w:r w:rsidRPr="00AD3E25">
        <w:rPr>
          <w:rFonts w:cs="Arial"/>
          <w:sz w:val="24"/>
        </w:rPr>
        <w:t xml:space="preserve">, Joseph P., ed. </w:t>
      </w:r>
      <w:r w:rsidRPr="00AD3E25">
        <w:rPr>
          <w:rFonts w:cs="Arial"/>
          <w:i/>
          <w:sz w:val="24"/>
        </w:rPr>
        <w:t>Feeling and Thinking: The Role of Affect in Social Cognition</w:t>
      </w:r>
      <w:r w:rsidRPr="00AD3E25">
        <w:rPr>
          <w:rFonts w:cs="Arial"/>
          <w:sz w:val="24"/>
        </w:rPr>
        <w:t xml:space="preserve">. Cambridge: Cambridge University Press and Paris: Editions de la </w:t>
      </w:r>
      <w:proofErr w:type="spellStart"/>
      <w:r w:rsidRPr="00AD3E25">
        <w:rPr>
          <w:rFonts w:cs="Arial"/>
          <w:sz w:val="24"/>
        </w:rPr>
        <w:t>Maison</w:t>
      </w:r>
      <w:proofErr w:type="spellEnd"/>
      <w:r w:rsidRPr="00AD3E25">
        <w:rPr>
          <w:rFonts w:cs="Arial"/>
          <w:sz w:val="24"/>
        </w:rPr>
        <w:t xml:space="preserve"> des Sciences de </w:t>
      </w:r>
      <w:proofErr w:type="spellStart"/>
      <w:r w:rsidRPr="00AD3E25">
        <w:rPr>
          <w:rFonts w:cs="Arial"/>
          <w:sz w:val="24"/>
        </w:rPr>
        <w:t>l’Homme</w:t>
      </w:r>
      <w:proofErr w:type="spellEnd"/>
      <w:r w:rsidRPr="00AD3E25">
        <w:rPr>
          <w:rFonts w:cs="Arial"/>
          <w:sz w:val="24"/>
        </w:rPr>
        <w:t>, 2000.</w:t>
      </w:r>
      <w:r w:rsidRPr="00AD3E25">
        <w:rPr>
          <w:sz w:val="24"/>
        </w:rPr>
        <w:t xml:space="preserve"> </w:t>
      </w:r>
    </w:p>
    <w:p w:rsidR="00CA4F6F" w:rsidRPr="00AD3E25" w:rsidRDefault="00CA4F6F" w:rsidP="00AD3E25">
      <w:pPr>
        <w:pStyle w:val="NoSpacing"/>
        <w:ind w:left="720" w:right="-720" w:hanging="720"/>
        <w:rPr>
          <w:sz w:val="24"/>
        </w:rPr>
      </w:pPr>
      <w:proofErr w:type="gramStart"/>
      <w:r w:rsidRPr="00AD3E25">
        <w:rPr>
          <w:sz w:val="24"/>
        </w:rPr>
        <w:t>Gallagher, Catherine and Stephen Greenblatt.</w:t>
      </w:r>
      <w:proofErr w:type="gramEnd"/>
      <w:r w:rsidRPr="00AD3E25">
        <w:rPr>
          <w:sz w:val="24"/>
        </w:rPr>
        <w:t xml:space="preserve"> </w:t>
      </w:r>
      <w:proofErr w:type="gramStart"/>
      <w:r w:rsidRPr="00AD3E25">
        <w:rPr>
          <w:i/>
          <w:sz w:val="24"/>
        </w:rPr>
        <w:t>Practicing New Historicism</w:t>
      </w:r>
      <w:r w:rsidRPr="00AD3E25">
        <w:rPr>
          <w:sz w:val="24"/>
        </w:rPr>
        <w:t>.</w:t>
      </w:r>
      <w:proofErr w:type="gramEnd"/>
      <w:r w:rsidRPr="00AD3E25">
        <w:rPr>
          <w:sz w:val="24"/>
        </w:rPr>
        <w:t xml:space="preserve"> Chicago, IL: University of Chicago Press, 2000.</w:t>
      </w:r>
    </w:p>
    <w:p w:rsidR="00CA4F6F" w:rsidRPr="00AD3E25" w:rsidRDefault="00CA4F6F" w:rsidP="00AD3E25">
      <w:pPr>
        <w:pStyle w:val="NoSpacing"/>
        <w:ind w:left="720" w:right="-720" w:hanging="720"/>
        <w:rPr>
          <w:sz w:val="24"/>
        </w:rPr>
      </w:pPr>
      <w:proofErr w:type="gramStart"/>
      <w:r w:rsidRPr="00AD3E25">
        <w:rPr>
          <w:sz w:val="24"/>
        </w:rPr>
        <w:t xml:space="preserve">Gilliam, T. Conrad, Eric </w:t>
      </w:r>
      <w:proofErr w:type="spellStart"/>
      <w:r w:rsidRPr="00AD3E25">
        <w:rPr>
          <w:sz w:val="24"/>
        </w:rPr>
        <w:t>Kandel</w:t>
      </w:r>
      <w:proofErr w:type="spellEnd"/>
      <w:r w:rsidRPr="00AD3E25">
        <w:rPr>
          <w:sz w:val="24"/>
        </w:rPr>
        <w:t xml:space="preserve">, and Thomas </w:t>
      </w:r>
      <w:proofErr w:type="spellStart"/>
      <w:r w:rsidRPr="00AD3E25">
        <w:rPr>
          <w:sz w:val="24"/>
        </w:rPr>
        <w:t>Jessell</w:t>
      </w:r>
      <w:proofErr w:type="spellEnd"/>
      <w:r w:rsidRPr="00AD3E25">
        <w:rPr>
          <w:sz w:val="24"/>
        </w:rPr>
        <w:t>.</w:t>
      </w:r>
      <w:proofErr w:type="gramEnd"/>
      <w:r w:rsidRPr="00AD3E25">
        <w:rPr>
          <w:sz w:val="24"/>
        </w:rPr>
        <w:t xml:space="preserve"> </w:t>
      </w:r>
      <w:proofErr w:type="gramStart"/>
      <w:r w:rsidRPr="00AD3E25">
        <w:rPr>
          <w:sz w:val="24"/>
        </w:rPr>
        <w:t>“Genes and Behavior.”</w:t>
      </w:r>
      <w:proofErr w:type="gramEnd"/>
      <w:r w:rsidRPr="00AD3E25">
        <w:rPr>
          <w:sz w:val="24"/>
        </w:rPr>
        <w:t xml:space="preserve"> </w:t>
      </w:r>
      <w:proofErr w:type="gramStart"/>
      <w:r w:rsidRPr="00AD3E25">
        <w:rPr>
          <w:sz w:val="24"/>
        </w:rPr>
        <w:t xml:space="preserve">In </w:t>
      </w:r>
      <w:r w:rsidRPr="00AD3E25">
        <w:rPr>
          <w:i/>
          <w:sz w:val="24"/>
        </w:rPr>
        <w:t>Principles of Neural Science</w:t>
      </w:r>
      <w:r w:rsidRPr="00AD3E25">
        <w:rPr>
          <w:sz w:val="24"/>
        </w:rPr>
        <w:t>.</w:t>
      </w:r>
      <w:proofErr w:type="gramEnd"/>
      <w:r w:rsidRPr="00AD3E25">
        <w:rPr>
          <w:sz w:val="24"/>
        </w:rPr>
        <w:t xml:space="preserve"> </w:t>
      </w:r>
      <w:proofErr w:type="gramStart"/>
      <w:r w:rsidRPr="00AD3E25">
        <w:rPr>
          <w:sz w:val="24"/>
        </w:rPr>
        <w:t xml:space="preserve">Ed. Eric </w:t>
      </w:r>
      <w:proofErr w:type="spellStart"/>
      <w:r w:rsidRPr="00AD3E25">
        <w:rPr>
          <w:sz w:val="24"/>
        </w:rPr>
        <w:t>Kandel</w:t>
      </w:r>
      <w:proofErr w:type="spellEnd"/>
      <w:r w:rsidRPr="00AD3E25">
        <w:rPr>
          <w:sz w:val="24"/>
        </w:rPr>
        <w:t xml:space="preserve">, James Schwartz, and Thomas </w:t>
      </w:r>
      <w:proofErr w:type="spellStart"/>
      <w:r w:rsidRPr="00AD3E25">
        <w:rPr>
          <w:sz w:val="24"/>
        </w:rPr>
        <w:t>Jessell</w:t>
      </w:r>
      <w:proofErr w:type="spellEnd"/>
      <w:r w:rsidRPr="00AD3E25">
        <w:rPr>
          <w:sz w:val="24"/>
        </w:rPr>
        <w:t>.</w:t>
      </w:r>
      <w:proofErr w:type="gramEnd"/>
      <w:r w:rsidRPr="00AD3E25">
        <w:rPr>
          <w:sz w:val="24"/>
        </w:rPr>
        <w:t xml:space="preserve"> 4</w:t>
      </w:r>
      <w:r w:rsidRPr="00AD3E25">
        <w:rPr>
          <w:sz w:val="24"/>
          <w:vertAlign w:val="superscript"/>
        </w:rPr>
        <w:t>th</w:t>
      </w:r>
      <w:r w:rsidRPr="00AD3E25">
        <w:rPr>
          <w:sz w:val="24"/>
        </w:rPr>
        <w:t xml:space="preserve"> </w:t>
      </w:r>
      <w:proofErr w:type="gramStart"/>
      <w:r w:rsidRPr="00AD3E25">
        <w:rPr>
          <w:sz w:val="24"/>
        </w:rPr>
        <w:t>ed</w:t>
      </w:r>
      <w:proofErr w:type="gramEnd"/>
      <w:r w:rsidRPr="00AD3E25">
        <w:rPr>
          <w:sz w:val="24"/>
        </w:rPr>
        <w:t>. New York: McGraw-Hill, 2000, 36-62.</w:t>
      </w:r>
    </w:p>
    <w:p w:rsidR="00CA4F6F" w:rsidRPr="00AD3E25" w:rsidRDefault="00CA4F6F" w:rsidP="00AD3E25">
      <w:pPr>
        <w:tabs>
          <w:tab w:val="left" w:pos="1980"/>
        </w:tabs>
        <w:spacing w:after="0"/>
        <w:ind w:left="720" w:right="-720" w:hanging="720"/>
        <w:rPr>
          <w:rFonts w:ascii="Times New Roman" w:hAnsi="Times New Roman"/>
        </w:rPr>
      </w:pPr>
      <w:proofErr w:type="spellStart"/>
      <w:r w:rsidRPr="00AD3E25">
        <w:rPr>
          <w:rFonts w:ascii="Times New Roman" w:hAnsi="Times New Roman"/>
        </w:rPr>
        <w:t>Hoefling</w:t>
      </w:r>
      <w:proofErr w:type="spellEnd"/>
      <w:r w:rsidRPr="00AD3E25">
        <w:rPr>
          <w:rFonts w:ascii="Times New Roman" w:hAnsi="Times New Roman"/>
        </w:rPr>
        <w:t xml:space="preserve">, </w:t>
      </w:r>
      <w:proofErr w:type="spellStart"/>
      <w:r w:rsidRPr="00AD3E25">
        <w:rPr>
          <w:rFonts w:ascii="Times New Roman" w:hAnsi="Times New Roman"/>
        </w:rPr>
        <w:t>Atilla</w:t>
      </w:r>
      <w:proofErr w:type="spellEnd"/>
      <w:r w:rsidRPr="00AD3E25">
        <w:rPr>
          <w:rFonts w:ascii="Times New Roman" w:hAnsi="Times New Roman"/>
        </w:rPr>
        <w:t xml:space="preserve">, </w:t>
      </w:r>
      <w:r w:rsidRPr="00AD3E25">
        <w:rPr>
          <w:rFonts w:ascii="Times New Roman" w:hAnsi="Times New Roman"/>
          <w:i/>
        </w:rPr>
        <w:t>et al</w:t>
      </w:r>
      <w:r w:rsidRPr="00AD3E25">
        <w:rPr>
          <w:rFonts w:ascii="Times New Roman" w:hAnsi="Times New Roman"/>
        </w:rPr>
        <w:t xml:space="preserve">. “When Hunger Finds No Fault With Moldy Corn: Food Deprivation Reduces Food-Related Disgust.” </w:t>
      </w:r>
      <w:r w:rsidRPr="00AD3E25">
        <w:rPr>
          <w:rFonts w:ascii="Times New Roman" w:hAnsi="Times New Roman"/>
          <w:i/>
        </w:rPr>
        <w:t>Emotion</w:t>
      </w:r>
      <w:r w:rsidRPr="00AD3E25">
        <w:rPr>
          <w:rFonts w:ascii="Times New Roman" w:hAnsi="Times New Roman"/>
        </w:rPr>
        <w:t xml:space="preserve"> 9.1 (2009): 50-58.</w:t>
      </w:r>
    </w:p>
    <w:p w:rsidR="00CA4F6F" w:rsidRPr="00AD3E25" w:rsidRDefault="00CA4F6F" w:rsidP="00AD3E25">
      <w:pPr>
        <w:spacing w:after="0"/>
        <w:ind w:left="720" w:right="-720" w:hanging="720"/>
        <w:rPr>
          <w:rFonts w:ascii="Times New Roman" w:hAnsi="Times New Roman"/>
        </w:rPr>
      </w:pPr>
      <w:proofErr w:type="spellStart"/>
      <w:r w:rsidRPr="00AD3E25">
        <w:rPr>
          <w:rFonts w:ascii="Times New Roman" w:hAnsi="Times New Roman"/>
        </w:rPr>
        <w:t>Oatley</w:t>
      </w:r>
      <w:proofErr w:type="spellEnd"/>
      <w:r w:rsidRPr="00AD3E25">
        <w:rPr>
          <w:rFonts w:ascii="Times New Roman" w:hAnsi="Times New Roman"/>
        </w:rPr>
        <w:t xml:space="preserve">, Keith. </w:t>
      </w:r>
      <w:r w:rsidRPr="00AD3E25">
        <w:rPr>
          <w:rFonts w:ascii="Times New Roman" w:hAnsi="Times New Roman"/>
          <w:i/>
        </w:rPr>
        <w:t>Emotions: A Brief History</w:t>
      </w:r>
      <w:r w:rsidRPr="00AD3E25">
        <w:rPr>
          <w:rFonts w:ascii="Times New Roman" w:hAnsi="Times New Roman"/>
        </w:rPr>
        <w:t>. Malden, MA: Blackwell, 2004.</w:t>
      </w:r>
    </w:p>
    <w:p w:rsidR="00CA4F6F" w:rsidRPr="00AD3E25" w:rsidRDefault="00CA4F6F" w:rsidP="00AD3E25">
      <w:pPr>
        <w:spacing w:after="0"/>
        <w:ind w:left="720" w:right="-720" w:hanging="720"/>
        <w:rPr>
          <w:rFonts w:ascii="Times New Roman" w:hAnsi="Times New Roman" w:cs="Arial"/>
        </w:rPr>
      </w:pPr>
      <w:proofErr w:type="spellStart"/>
      <w:r w:rsidRPr="00AD3E25">
        <w:rPr>
          <w:rFonts w:ascii="Times New Roman" w:hAnsi="Times New Roman" w:cs="Arial"/>
        </w:rPr>
        <w:t>Zajonc</w:t>
      </w:r>
      <w:proofErr w:type="spellEnd"/>
      <w:r w:rsidRPr="00AD3E25">
        <w:rPr>
          <w:rFonts w:ascii="Times New Roman" w:hAnsi="Times New Roman" w:cs="Arial"/>
        </w:rPr>
        <w:t xml:space="preserve">, Robert B. “Feeling and Thinking: Closing the Debate </w:t>
      </w:r>
      <w:proofErr w:type="gramStart"/>
      <w:r w:rsidRPr="00AD3E25">
        <w:rPr>
          <w:rFonts w:ascii="Times New Roman" w:hAnsi="Times New Roman" w:cs="Arial"/>
        </w:rPr>
        <w:t>Over</w:t>
      </w:r>
      <w:proofErr w:type="gramEnd"/>
      <w:r w:rsidRPr="00AD3E25">
        <w:rPr>
          <w:rFonts w:ascii="Times New Roman" w:hAnsi="Times New Roman" w:cs="Arial"/>
        </w:rPr>
        <w:t xml:space="preserve"> the Independence of Affect.” </w:t>
      </w:r>
      <w:proofErr w:type="gramStart"/>
      <w:r w:rsidRPr="00AD3E25">
        <w:rPr>
          <w:rFonts w:ascii="Times New Roman" w:hAnsi="Times New Roman" w:cs="Arial"/>
        </w:rPr>
        <w:t xml:space="preserve">In </w:t>
      </w:r>
      <w:proofErr w:type="spellStart"/>
      <w:r w:rsidRPr="00AD3E25">
        <w:rPr>
          <w:rFonts w:ascii="Times New Roman" w:hAnsi="Times New Roman" w:cs="Arial"/>
        </w:rPr>
        <w:t>Forgas</w:t>
      </w:r>
      <w:proofErr w:type="spellEnd"/>
      <w:r w:rsidRPr="00AD3E25">
        <w:rPr>
          <w:rFonts w:ascii="Times New Roman" w:hAnsi="Times New Roman" w:cs="Arial"/>
        </w:rPr>
        <w:t xml:space="preserve">, </w:t>
      </w:r>
      <w:r w:rsidRPr="00AD3E25">
        <w:rPr>
          <w:rFonts w:ascii="Times New Roman" w:hAnsi="Times New Roman" w:cs="Arial"/>
          <w:i/>
        </w:rPr>
        <w:t>Feeling</w:t>
      </w:r>
      <w:r w:rsidRPr="00AD3E25">
        <w:rPr>
          <w:rFonts w:ascii="Times New Roman" w:hAnsi="Times New Roman" w:cs="Arial"/>
        </w:rPr>
        <w:t>, 31-58.</w:t>
      </w:r>
      <w:proofErr w:type="gramEnd"/>
    </w:p>
    <w:p w:rsidR="00CA4F6F" w:rsidRPr="00AD3E25" w:rsidRDefault="00CA4F6F" w:rsidP="00AD3E25">
      <w:pPr>
        <w:spacing w:after="0"/>
        <w:ind w:left="720" w:right="-720" w:hanging="720"/>
        <w:rPr>
          <w:rFonts w:ascii="Times New Roman" w:hAnsi="Times New Roman" w:cs="Arial"/>
        </w:rPr>
      </w:pPr>
      <w:r w:rsidRPr="00AD3E25">
        <w:rPr>
          <w:rFonts w:ascii="Times New Roman" w:hAnsi="Times New Roman" w:cs="Arial"/>
        </w:rPr>
        <w:t xml:space="preserve">Wong, Roderick. </w:t>
      </w:r>
      <w:r w:rsidRPr="00AD3E25">
        <w:rPr>
          <w:rFonts w:ascii="Times New Roman" w:hAnsi="Times New Roman" w:cs="Arial"/>
          <w:i/>
        </w:rPr>
        <w:t xml:space="preserve">Motivation: A </w:t>
      </w:r>
      <w:proofErr w:type="spellStart"/>
      <w:r w:rsidRPr="00AD3E25">
        <w:rPr>
          <w:rFonts w:ascii="Times New Roman" w:hAnsi="Times New Roman" w:cs="Arial"/>
          <w:i/>
        </w:rPr>
        <w:t>Biobehavioural</w:t>
      </w:r>
      <w:proofErr w:type="spellEnd"/>
      <w:r w:rsidRPr="00AD3E25">
        <w:rPr>
          <w:rFonts w:ascii="Times New Roman" w:hAnsi="Times New Roman" w:cs="Arial"/>
          <w:i/>
        </w:rPr>
        <w:t xml:space="preserve"> Approach</w:t>
      </w:r>
      <w:r w:rsidRPr="00AD3E25">
        <w:rPr>
          <w:rFonts w:ascii="Times New Roman" w:hAnsi="Times New Roman" w:cs="Arial"/>
        </w:rPr>
        <w:t>. Cambridge: Cambridge University Press, 2000.</w:t>
      </w:r>
    </w:p>
    <w:sectPr w:rsidR="00CA4F6F" w:rsidRPr="00AD3E25" w:rsidSect="006556C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panose1 w:val="00000000000000000000"/>
    <w:charset w:val="80"/>
    <w:family w:val="auto"/>
    <w:notTrueType/>
    <w:pitch w:val="variable"/>
    <w:sig w:usb0="01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64"/>
    <w:rsid w:val="000631D0"/>
    <w:rsid w:val="000B748F"/>
    <w:rsid w:val="000D4676"/>
    <w:rsid w:val="000E0570"/>
    <w:rsid w:val="000F7429"/>
    <w:rsid w:val="000F7F88"/>
    <w:rsid w:val="00130408"/>
    <w:rsid w:val="00151BE3"/>
    <w:rsid w:val="001549B4"/>
    <w:rsid w:val="001B2F26"/>
    <w:rsid w:val="001C1479"/>
    <w:rsid w:val="001E408F"/>
    <w:rsid w:val="00263252"/>
    <w:rsid w:val="00286F0D"/>
    <w:rsid w:val="002D2F62"/>
    <w:rsid w:val="003F7B9F"/>
    <w:rsid w:val="00436120"/>
    <w:rsid w:val="00443220"/>
    <w:rsid w:val="004D171A"/>
    <w:rsid w:val="005076CE"/>
    <w:rsid w:val="005375AF"/>
    <w:rsid w:val="005B4504"/>
    <w:rsid w:val="005E0D8F"/>
    <w:rsid w:val="006556C3"/>
    <w:rsid w:val="00680208"/>
    <w:rsid w:val="006912C4"/>
    <w:rsid w:val="00691A3D"/>
    <w:rsid w:val="006B6364"/>
    <w:rsid w:val="007D70CF"/>
    <w:rsid w:val="007E5AB2"/>
    <w:rsid w:val="008122C4"/>
    <w:rsid w:val="00813E2A"/>
    <w:rsid w:val="00864A15"/>
    <w:rsid w:val="008904D6"/>
    <w:rsid w:val="008A3E83"/>
    <w:rsid w:val="008B0CE6"/>
    <w:rsid w:val="00915E25"/>
    <w:rsid w:val="00963347"/>
    <w:rsid w:val="00991A88"/>
    <w:rsid w:val="009E6AB4"/>
    <w:rsid w:val="00A0364F"/>
    <w:rsid w:val="00A07927"/>
    <w:rsid w:val="00A84C09"/>
    <w:rsid w:val="00A912F0"/>
    <w:rsid w:val="00AB7793"/>
    <w:rsid w:val="00AD3E25"/>
    <w:rsid w:val="00AF2648"/>
    <w:rsid w:val="00BC6EBF"/>
    <w:rsid w:val="00C07892"/>
    <w:rsid w:val="00C24F3E"/>
    <w:rsid w:val="00C261B3"/>
    <w:rsid w:val="00C30245"/>
    <w:rsid w:val="00C7714B"/>
    <w:rsid w:val="00C9479B"/>
    <w:rsid w:val="00CA2B75"/>
    <w:rsid w:val="00CA4F6F"/>
    <w:rsid w:val="00D079F9"/>
    <w:rsid w:val="00D10FE5"/>
    <w:rsid w:val="00DF177C"/>
    <w:rsid w:val="00DF4D1D"/>
    <w:rsid w:val="00E00924"/>
    <w:rsid w:val="00E27848"/>
    <w:rsid w:val="00E471E7"/>
    <w:rsid w:val="00EA4357"/>
    <w:rsid w:val="00EA4C23"/>
    <w:rsid w:val="00FF34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semiHidden/>
    <w:qFormat/>
    <w:rsid w:val="00915E25"/>
    <w:rPr>
      <w:rFonts w:ascii="Times New Roman" w:eastAsia="ヒラギノ角ゴ Pro W3"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semiHidden/>
    <w:qFormat/>
    <w:rsid w:val="00915E25"/>
    <w:rPr>
      <w:rFonts w:ascii="Times New Roman" w:eastAsia="ヒラギノ角ゴ Pro W3"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A4661C43</Template>
  <TotalTime>1</TotalTime>
  <Pages>4</Pages>
  <Words>2010</Words>
  <Characters>11458</Characters>
  <Application>Microsoft Office Word</Application>
  <DocSecurity>4</DocSecurity>
  <Lines>95</Lines>
  <Paragraphs>26</Paragraphs>
  <ScaleCrop>false</ScaleCrop>
  <Company>U of CT</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Cognition and Emotion in Literature and Film, or</dc:title>
  <dc:creator>Patrick Hogan</dc:creator>
  <cp:lastModifiedBy>Sand, Nicole R</cp:lastModifiedBy>
  <cp:revision>2</cp:revision>
  <dcterms:created xsi:type="dcterms:W3CDTF">2011-09-19T20:12:00Z</dcterms:created>
  <dcterms:modified xsi:type="dcterms:W3CDTF">2011-09-19T20:12:00Z</dcterms:modified>
</cp:coreProperties>
</file>